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F85" w:rsidRDefault="00A92F85" w:rsidP="00A92F85">
      <w:pPr>
        <w:pStyle w:val="Heading1"/>
      </w:pPr>
      <w:r>
        <w:t>Private Equity and Venture Capital Investments in Kenyan Companies</w:t>
      </w:r>
    </w:p>
    <w:p w:rsidR="00A92F85" w:rsidRDefault="00A92F85" w:rsidP="00A92F85">
      <w:pPr>
        <w:pStyle w:val="Heading2"/>
      </w:pPr>
      <w:r>
        <w:t>Introduction</w:t>
      </w:r>
    </w:p>
    <w:p w:rsidR="00A92F85" w:rsidRDefault="00A92F85" w:rsidP="00A92F85">
      <w:pPr>
        <w:pStyle w:val="NormalWeb"/>
      </w:pPr>
      <w:r>
        <w:t>Private equity (PE) and venture capital (VC) investments have become a central driver of growth, innovation, and corporate restructuring in Kenya’s economy. As East Africa’s largest financial and commercial hub, Kenya continues to attract regional and international investors seeking exposure to technology, financial services, infrastructure, healthcare, manufacturing, and consumer-driven sectors. For both investors and founders, understanding the legal, regulatory, and governance landscape governing private capital transactions is critical to structuring sustainable and value-accretive investments.</w:t>
      </w:r>
    </w:p>
    <w:p w:rsidR="00A92F85" w:rsidRDefault="00A92F85" w:rsidP="00A92F85">
      <w:pPr>
        <w:pStyle w:val="NormalWeb"/>
      </w:pPr>
      <w:r>
        <w:t>This article explores how private equity and venture capital investments are structured in Kenya, the key legal considerations involved, and how recent regulatory developments are shaping the private capital ecosystem.</w:t>
      </w:r>
    </w:p>
    <w:p w:rsidR="00A92F85" w:rsidRDefault="00A92F85" w:rsidP="00A92F85">
      <w:pPr>
        <w:pStyle w:val="Heading2"/>
      </w:pPr>
      <w:r>
        <w:t>The Role of Private Equity and Venture Capital in Kenya</w:t>
      </w:r>
    </w:p>
    <w:p w:rsidR="00A92F85" w:rsidRDefault="00A92F85" w:rsidP="00A92F85">
      <w:pPr>
        <w:pStyle w:val="NormalWeb"/>
      </w:pPr>
      <w:r>
        <w:t>Private equity and venture capital investments typically involve the acquisition of minority or majority equity stakes in privately held companies with a view to long-term value creation and eventual exit. In the Kenyan context, private capital has played a significant role in:</w:t>
      </w:r>
    </w:p>
    <w:p w:rsidR="00A92F85" w:rsidRDefault="00A92F85" w:rsidP="00A92F85">
      <w:pPr>
        <w:pStyle w:val="NormalWeb"/>
        <w:numPr>
          <w:ilvl w:val="0"/>
          <w:numId w:val="10"/>
        </w:numPr>
      </w:pPr>
      <w:r>
        <w:t>Scaling early-stage and growth-stage technology companies;</w:t>
      </w:r>
    </w:p>
    <w:p w:rsidR="00A92F85" w:rsidRDefault="00A92F85" w:rsidP="00A92F85">
      <w:pPr>
        <w:pStyle w:val="NormalWeb"/>
        <w:numPr>
          <w:ilvl w:val="0"/>
          <w:numId w:val="10"/>
        </w:numPr>
      </w:pPr>
      <w:proofErr w:type="spellStart"/>
      <w:r>
        <w:t>Professionalising</w:t>
      </w:r>
      <w:proofErr w:type="spellEnd"/>
      <w:r>
        <w:t xml:space="preserve"> founder-led and family-owned businesses;</w:t>
      </w:r>
    </w:p>
    <w:p w:rsidR="00A92F85" w:rsidRDefault="00A92F85" w:rsidP="00A92F85">
      <w:pPr>
        <w:pStyle w:val="NormalWeb"/>
        <w:numPr>
          <w:ilvl w:val="0"/>
          <w:numId w:val="10"/>
        </w:numPr>
      </w:pPr>
      <w:r>
        <w:t>Supporting regional expansion across East and Central Africa; and</w:t>
      </w:r>
    </w:p>
    <w:p w:rsidR="00A92F85" w:rsidRDefault="00A92F85" w:rsidP="00A92F85">
      <w:pPr>
        <w:pStyle w:val="NormalWeb"/>
        <w:numPr>
          <w:ilvl w:val="0"/>
          <w:numId w:val="10"/>
        </w:numPr>
      </w:pPr>
      <w:r>
        <w:t>Providing alternative sources of capital where traditional debt financing may be limited or restrictive.</w:t>
      </w:r>
    </w:p>
    <w:p w:rsidR="00A92F85" w:rsidRDefault="00A92F85" w:rsidP="00A92F85">
      <w:pPr>
        <w:pStyle w:val="NormalWeb"/>
      </w:pPr>
      <w:r>
        <w:t>While venture capital investments are often focused on early-stage and high-growth companies, private equity transactions tend to involve more mature businesses with established revenue streams and clearer exit horizons.</w:t>
      </w:r>
    </w:p>
    <w:p w:rsidR="00A92F85" w:rsidRDefault="00A92F85" w:rsidP="00A92F85">
      <w:pPr>
        <w:pStyle w:val="Heading2"/>
      </w:pPr>
      <w:r>
        <w:t>Common Investment Structures</w:t>
      </w:r>
    </w:p>
    <w:p w:rsidR="00A92F85" w:rsidRDefault="00A92F85" w:rsidP="00A92F85">
      <w:pPr>
        <w:pStyle w:val="NormalWeb"/>
      </w:pPr>
      <w:r>
        <w:t>Private equity and venture capital investments into Kenyan companies are typically structured through:</w:t>
      </w:r>
    </w:p>
    <w:p w:rsidR="00A92F85" w:rsidRDefault="00A92F85" w:rsidP="00A92F85">
      <w:pPr>
        <w:pStyle w:val="NormalWeb"/>
        <w:numPr>
          <w:ilvl w:val="0"/>
          <w:numId w:val="11"/>
        </w:numPr>
      </w:pPr>
      <w:r>
        <w:rPr>
          <w:rStyle w:val="Strong"/>
        </w:rPr>
        <w:t>Direct equity investments</w:t>
      </w:r>
      <w:r>
        <w:t xml:space="preserve"> via subscription for new shares;</w:t>
      </w:r>
    </w:p>
    <w:p w:rsidR="00A92F85" w:rsidRDefault="00A92F85" w:rsidP="00A92F85">
      <w:pPr>
        <w:pStyle w:val="NormalWeb"/>
        <w:numPr>
          <w:ilvl w:val="0"/>
          <w:numId w:val="11"/>
        </w:numPr>
      </w:pPr>
      <w:r>
        <w:rPr>
          <w:rStyle w:val="Strong"/>
        </w:rPr>
        <w:t>Secondary acquisitions</w:t>
      </w:r>
      <w:r>
        <w:t xml:space="preserve"> involving the purchase of existing shares from founders or early investors;</w:t>
      </w:r>
    </w:p>
    <w:p w:rsidR="00A92F85" w:rsidRDefault="00A92F85" w:rsidP="00A92F85">
      <w:pPr>
        <w:pStyle w:val="NormalWeb"/>
        <w:numPr>
          <w:ilvl w:val="0"/>
          <w:numId w:val="11"/>
        </w:numPr>
      </w:pPr>
      <w:r>
        <w:rPr>
          <w:rStyle w:val="Strong"/>
        </w:rPr>
        <w:t>Convertible instruments</w:t>
      </w:r>
      <w:r>
        <w:t>, including convertible notes or preference shares; and</w:t>
      </w:r>
    </w:p>
    <w:p w:rsidR="00A92F85" w:rsidRDefault="00A92F85" w:rsidP="00A92F85">
      <w:pPr>
        <w:pStyle w:val="NormalWeb"/>
        <w:numPr>
          <w:ilvl w:val="0"/>
          <w:numId w:val="11"/>
        </w:numPr>
      </w:pPr>
      <w:r>
        <w:rPr>
          <w:rStyle w:val="Strong"/>
        </w:rPr>
        <w:t>Hybrid structures</w:t>
      </w:r>
      <w:r>
        <w:t xml:space="preserve"> combining equity, shareholder loans, or quasi-equity instruments.</w:t>
      </w:r>
    </w:p>
    <w:p w:rsidR="00A92F85" w:rsidRDefault="00A92F85" w:rsidP="00A92F85">
      <w:pPr>
        <w:pStyle w:val="NormalWeb"/>
      </w:pPr>
      <w:r>
        <w:lastRenderedPageBreak/>
        <w:t>Investments are frequently made through offshore holding vehicles, particularly where investors are pooling capital from multiple jurisdictions. Kenyan operating companies may therefore sit beneath regional or global holding structures designed to accommodate tax efficiency, regulatory considerations, and exit flexibility.</w:t>
      </w:r>
    </w:p>
    <w:p w:rsidR="00A92F85" w:rsidRDefault="00A92F85" w:rsidP="00A92F85">
      <w:pPr>
        <w:pStyle w:val="Heading2"/>
      </w:pPr>
      <w:r>
        <w:t>Corporate Governance and Shareholder Protections</w:t>
      </w:r>
    </w:p>
    <w:p w:rsidR="00A92F85" w:rsidRDefault="00A92F85" w:rsidP="00A92F85">
      <w:pPr>
        <w:pStyle w:val="NormalWeb"/>
      </w:pPr>
      <w:r>
        <w:t>Corporate governance is a central concern in private capital transactions. Investors typically negotiate bespoke shareholder arrangements designed to protect their investment while allowing management to retain operational autonomy.</w:t>
      </w:r>
    </w:p>
    <w:p w:rsidR="00A92F85" w:rsidRDefault="00A92F85" w:rsidP="00A92F85">
      <w:pPr>
        <w:pStyle w:val="NormalWeb"/>
      </w:pPr>
      <w:r>
        <w:t>Key governance and protection mechanisms commonly include:</w:t>
      </w:r>
    </w:p>
    <w:p w:rsidR="00A92F85" w:rsidRDefault="00A92F85" w:rsidP="00A92F85">
      <w:pPr>
        <w:pStyle w:val="NormalWeb"/>
        <w:numPr>
          <w:ilvl w:val="0"/>
          <w:numId w:val="12"/>
        </w:numPr>
      </w:pPr>
      <w:r>
        <w:t>Board representation and observer rights;</w:t>
      </w:r>
    </w:p>
    <w:p w:rsidR="00A92F85" w:rsidRDefault="00A92F85" w:rsidP="00A92F85">
      <w:pPr>
        <w:pStyle w:val="NormalWeb"/>
        <w:numPr>
          <w:ilvl w:val="0"/>
          <w:numId w:val="12"/>
        </w:numPr>
      </w:pPr>
      <w:r>
        <w:t>Reserved matters requiring investor consent;</w:t>
      </w:r>
    </w:p>
    <w:p w:rsidR="00A92F85" w:rsidRDefault="00A92F85" w:rsidP="00A92F85">
      <w:pPr>
        <w:pStyle w:val="NormalWeb"/>
        <w:numPr>
          <w:ilvl w:val="0"/>
          <w:numId w:val="12"/>
        </w:numPr>
      </w:pPr>
      <w:r>
        <w:t>Information and reporting obligations;</w:t>
      </w:r>
    </w:p>
    <w:p w:rsidR="00A92F85" w:rsidRDefault="00A92F85" w:rsidP="00A92F85">
      <w:pPr>
        <w:pStyle w:val="NormalWeb"/>
        <w:numPr>
          <w:ilvl w:val="0"/>
          <w:numId w:val="12"/>
        </w:numPr>
      </w:pPr>
      <w:r>
        <w:t>Anti-dilution protections;</w:t>
      </w:r>
    </w:p>
    <w:p w:rsidR="00A92F85" w:rsidRDefault="00A92F85" w:rsidP="00A92F85">
      <w:pPr>
        <w:pStyle w:val="NormalWeb"/>
        <w:numPr>
          <w:ilvl w:val="0"/>
          <w:numId w:val="12"/>
        </w:numPr>
      </w:pPr>
      <w:r>
        <w:t>Exit rights, including drag-along and tag-along provisions; and</w:t>
      </w:r>
    </w:p>
    <w:p w:rsidR="00A92F85" w:rsidRDefault="00A92F85" w:rsidP="00A92F85">
      <w:pPr>
        <w:pStyle w:val="NormalWeb"/>
        <w:numPr>
          <w:ilvl w:val="0"/>
          <w:numId w:val="12"/>
        </w:numPr>
      </w:pPr>
      <w:r>
        <w:t>Clearly defined founder vesting and good/bad leaver provisions.</w:t>
      </w:r>
    </w:p>
    <w:p w:rsidR="00A92F85" w:rsidRDefault="00A92F85" w:rsidP="00A92F85">
      <w:pPr>
        <w:pStyle w:val="NormalWeb"/>
      </w:pPr>
      <w:r>
        <w:t>In Kenya, these protections are usually documented through shareholders’ agreements and bespoke articles of association aligned with the Companies Act, 2015.</w:t>
      </w:r>
    </w:p>
    <w:p w:rsidR="00A92F85" w:rsidRDefault="00A92F85" w:rsidP="00A92F85">
      <w:pPr>
        <w:pStyle w:val="Heading2"/>
      </w:pPr>
      <w:r>
        <w:t>Regulatory Landscape for Private Equity and Venture Capital in Kenya</w:t>
      </w:r>
    </w:p>
    <w:p w:rsidR="00A92F85" w:rsidRDefault="00A92F85" w:rsidP="00A92F85">
      <w:pPr>
        <w:pStyle w:val="NormalWeb"/>
      </w:pPr>
      <w:r>
        <w:t>Kenya’s regulatory approach to private capital has evolved significantly in recent years. The introduction of the Capital Markets (Alternative Investment Funds) Regulations, 2023 has brought private equity, venture capital, and similar private investment vehicles within the formal oversight of the Capital Markets Authority (CMA).</w:t>
      </w:r>
    </w:p>
    <w:p w:rsidR="00A92F85" w:rsidRDefault="00A92F85" w:rsidP="00A92F85">
      <w:pPr>
        <w:pStyle w:val="NormalWeb"/>
      </w:pPr>
      <w:r>
        <w:t xml:space="preserve">Under this framework, private investment vehicles that pool capital from a limited number of investors for deployment in accordance with a defined investment strategy may fall within the definition of an </w:t>
      </w:r>
      <w:r>
        <w:rPr>
          <w:rStyle w:val="Strong"/>
        </w:rPr>
        <w:t>Alternative Investment Fund (AIF)</w:t>
      </w:r>
      <w:r>
        <w:t>. The scope of the regulations is intentionally broad and may capture both locally established funds and offshore funds actively investing into Kenyan companies.</w:t>
      </w:r>
    </w:p>
    <w:p w:rsidR="00A92F85" w:rsidRDefault="00B53B4C" w:rsidP="00A92F85">
      <w:pPr>
        <w:pStyle w:val="NormalWeb"/>
      </w:pPr>
      <w:r>
        <w:t xml:space="preserve">Certain structures, </w:t>
      </w:r>
      <w:r w:rsidR="00A92F85">
        <w:t>such as family trusts, employee share ownership plans, holding compani</w:t>
      </w:r>
      <w:r>
        <w:t xml:space="preserve">es, and </w:t>
      </w:r>
      <w:proofErr w:type="spellStart"/>
      <w:r>
        <w:t>securitisation</w:t>
      </w:r>
      <w:proofErr w:type="spellEnd"/>
      <w:r>
        <w:t xml:space="preserve"> vehicles, </w:t>
      </w:r>
      <w:r w:rsidR="00A92F85">
        <w:t>are expressly excluded, reflecting the regulator’s intention to focus on professional investment funds rather than internal or proprietary arrangements.</w:t>
      </w:r>
    </w:p>
    <w:p w:rsidR="00A92F85" w:rsidRDefault="00A92F85" w:rsidP="00A92F85">
      <w:pPr>
        <w:pStyle w:val="Heading3"/>
      </w:pPr>
      <w:r>
        <w:t>Licensing and Oversight</w:t>
      </w:r>
    </w:p>
    <w:p w:rsidR="00A92F85" w:rsidRDefault="00A92F85" w:rsidP="00A92F85">
      <w:pPr>
        <w:pStyle w:val="NormalWeb"/>
      </w:pPr>
      <w:r>
        <w:lastRenderedPageBreak/>
        <w:t>Funds operating within the AIF framework are required to obtain licensing from the CMA prior to deploying investor capital. While fundraising through private placement may occur during the licensing process, capital cannot be invested until regulatory approval has been granted.</w:t>
      </w:r>
    </w:p>
    <w:p w:rsidR="00A92F85" w:rsidRDefault="00A92F85" w:rsidP="00A92F85">
      <w:pPr>
        <w:pStyle w:val="NormalWeb"/>
      </w:pPr>
      <w:r>
        <w:t>The CMA’s oversight extends to approval of investment policies, ongoing supervision of fund management activities, and fit-and-proper assessments of directors, partners, and key decision-makers. Fund managers are also required to appoint CMA-licensed custodians to safeguard fund assets.</w:t>
      </w:r>
    </w:p>
    <w:p w:rsidR="00A92F85" w:rsidRDefault="00A92F85" w:rsidP="00A92F85">
      <w:pPr>
        <w:pStyle w:val="NormalWeb"/>
      </w:pPr>
      <w:r>
        <w:t>This approach reflects a shift towards substance-based regulation, aligning Kenya more closely with international regulatory standards applicable to alternative investment funds, while preserving the flexibility associated with private capital.</w:t>
      </w:r>
    </w:p>
    <w:p w:rsidR="00A92F85" w:rsidRDefault="00A92F85" w:rsidP="00A92F85">
      <w:pPr>
        <w:pStyle w:val="Heading3"/>
      </w:pPr>
      <w:r>
        <w:t>Investment Parameters and Compliance Considerations</w:t>
      </w:r>
    </w:p>
    <w:p w:rsidR="00A92F85" w:rsidRDefault="00A92F85" w:rsidP="00A92F85">
      <w:pPr>
        <w:pStyle w:val="NormalWeb"/>
      </w:pPr>
      <w:r>
        <w:t>The regulatory framework introduces parameters around investor participation, minimum investment thresholds, and disclosure obligations applicable to private placement documentation. For fund sponsors and investors, these requirements have practical implications for fund structuring, transaction sequencing, and regulatory risk allocation.</w:t>
      </w:r>
    </w:p>
    <w:p w:rsidR="00A92F85" w:rsidRDefault="00A92F85" w:rsidP="00A92F85">
      <w:pPr>
        <w:pStyle w:val="NormalWeb"/>
      </w:pPr>
      <w:r>
        <w:t>As the framework continues to mature, early engagement with regulators and careful compliance planning has become an increasingly important component of private equity and venture capital transactions involving Kenyan portfolio companies.</w:t>
      </w:r>
    </w:p>
    <w:p w:rsidR="00A92F85" w:rsidRDefault="00A92F85" w:rsidP="00A92F85">
      <w:pPr>
        <w:pStyle w:val="Heading2"/>
      </w:pPr>
      <w:r>
        <w:t>Transactional Considerations and Due Diligence</w:t>
      </w:r>
    </w:p>
    <w:p w:rsidR="00A92F85" w:rsidRDefault="00A92F85" w:rsidP="00A92F85">
      <w:pPr>
        <w:pStyle w:val="NormalWeb"/>
      </w:pPr>
      <w:r>
        <w:t>Private equity and venture capital transactions in Kenya are underpinned by rigorous legal due diligence. Key focus areas typically include:</w:t>
      </w:r>
    </w:p>
    <w:p w:rsidR="00A92F85" w:rsidRDefault="00A92F85" w:rsidP="00A92F85">
      <w:pPr>
        <w:pStyle w:val="NormalWeb"/>
        <w:numPr>
          <w:ilvl w:val="0"/>
          <w:numId w:val="13"/>
        </w:numPr>
      </w:pPr>
      <w:r>
        <w:t>Corporate structure and share capital;</w:t>
      </w:r>
    </w:p>
    <w:p w:rsidR="00A92F85" w:rsidRDefault="00A92F85" w:rsidP="00A92F85">
      <w:pPr>
        <w:pStyle w:val="NormalWeb"/>
        <w:numPr>
          <w:ilvl w:val="0"/>
          <w:numId w:val="13"/>
        </w:numPr>
      </w:pPr>
      <w:r>
        <w:t>Regulatory and licensing compliance;</w:t>
      </w:r>
    </w:p>
    <w:p w:rsidR="00A92F85" w:rsidRDefault="00A92F85" w:rsidP="00A92F85">
      <w:pPr>
        <w:pStyle w:val="NormalWeb"/>
        <w:numPr>
          <w:ilvl w:val="0"/>
          <w:numId w:val="13"/>
        </w:numPr>
      </w:pPr>
      <w:r>
        <w:t>Material contracts and commercial arrangements;</w:t>
      </w:r>
    </w:p>
    <w:p w:rsidR="00A92F85" w:rsidRDefault="00A92F85" w:rsidP="00A92F85">
      <w:pPr>
        <w:pStyle w:val="NormalWeb"/>
        <w:numPr>
          <w:ilvl w:val="0"/>
          <w:numId w:val="13"/>
        </w:numPr>
      </w:pPr>
      <w:r>
        <w:t>Employment and incentive structures;</w:t>
      </w:r>
    </w:p>
    <w:p w:rsidR="00A92F85" w:rsidRDefault="00A92F85" w:rsidP="00A92F85">
      <w:pPr>
        <w:pStyle w:val="NormalWeb"/>
        <w:numPr>
          <w:ilvl w:val="0"/>
          <w:numId w:val="13"/>
        </w:numPr>
      </w:pPr>
      <w:r>
        <w:t>Intellectual property ownership (particularly in technology-driven businesses);</w:t>
      </w:r>
    </w:p>
    <w:p w:rsidR="00A92F85" w:rsidRDefault="00A92F85" w:rsidP="00A92F85">
      <w:pPr>
        <w:pStyle w:val="NormalWeb"/>
        <w:numPr>
          <w:ilvl w:val="0"/>
          <w:numId w:val="13"/>
        </w:numPr>
      </w:pPr>
      <w:r>
        <w:t>Tax exposures and historic liabilities; and</w:t>
      </w:r>
    </w:p>
    <w:p w:rsidR="00A92F85" w:rsidRDefault="00A92F85" w:rsidP="00A92F85">
      <w:pPr>
        <w:pStyle w:val="NormalWeb"/>
        <w:numPr>
          <w:ilvl w:val="0"/>
          <w:numId w:val="13"/>
        </w:numPr>
      </w:pPr>
      <w:r>
        <w:t>Dispute history and contingent liabilities.</w:t>
      </w:r>
    </w:p>
    <w:p w:rsidR="00A92F85" w:rsidRDefault="00A92F85" w:rsidP="00A92F85">
      <w:pPr>
        <w:pStyle w:val="NormalWeb"/>
      </w:pPr>
      <w:r>
        <w:t>Findings from due diligence inform valuation, risk allocation, and the scope of warranties, indemnities, and conditions precedent in transaction documentation.</w:t>
      </w:r>
    </w:p>
    <w:p w:rsidR="00A92F85" w:rsidRDefault="00A92F85" w:rsidP="00A92F85">
      <w:pPr>
        <w:pStyle w:val="Heading2"/>
      </w:pPr>
      <w:r>
        <w:t>Exit Strategies</w:t>
      </w:r>
    </w:p>
    <w:p w:rsidR="00A92F85" w:rsidRDefault="00A92F85" w:rsidP="00A92F85">
      <w:pPr>
        <w:pStyle w:val="NormalWeb"/>
      </w:pPr>
      <w:r>
        <w:t>A clear exit strategy is fundamental to private equity and venture capital investments. Common exit routes in the Kenyan market include:</w:t>
      </w:r>
    </w:p>
    <w:p w:rsidR="00A92F85" w:rsidRDefault="00A92F85" w:rsidP="00A92F85">
      <w:pPr>
        <w:pStyle w:val="NormalWeb"/>
        <w:numPr>
          <w:ilvl w:val="0"/>
          <w:numId w:val="14"/>
        </w:numPr>
      </w:pPr>
      <w:r>
        <w:lastRenderedPageBreak/>
        <w:t>Trade sales to strategic investors;</w:t>
      </w:r>
    </w:p>
    <w:p w:rsidR="00A92F85" w:rsidRDefault="00A92F85" w:rsidP="00A92F85">
      <w:pPr>
        <w:pStyle w:val="NormalWeb"/>
        <w:numPr>
          <w:ilvl w:val="0"/>
          <w:numId w:val="14"/>
        </w:numPr>
      </w:pPr>
      <w:r>
        <w:t>Secondary sales to other private equity or venture capital funds;</w:t>
      </w:r>
    </w:p>
    <w:p w:rsidR="00A92F85" w:rsidRDefault="00A92F85" w:rsidP="00A92F85">
      <w:pPr>
        <w:pStyle w:val="NormalWeb"/>
        <w:numPr>
          <w:ilvl w:val="0"/>
          <w:numId w:val="14"/>
        </w:numPr>
      </w:pPr>
      <w:r>
        <w:t>Management buyouts; and</w:t>
      </w:r>
    </w:p>
    <w:p w:rsidR="00A92F85" w:rsidRDefault="00A92F85" w:rsidP="00A92F85">
      <w:pPr>
        <w:pStyle w:val="NormalWeb"/>
        <w:numPr>
          <w:ilvl w:val="0"/>
          <w:numId w:val="14"/>
        </w:numPr>
      </w:pPr>
      <w:r>
        <w:t>Initial public offerings (IPOs), although less common.</w:t>
      </w:r>
    </w:p>
    <w:p w:rsidR="00A92F85" w:rsidRDefault="00A92F85" w:rsidP="00A92F85">
      <w:pPr>
        <w:pStyle w:val="NormalWeb"/>
      </w:pPr>
      <w:r>
        <w:t>Exit planning is often embedded into transaction documentation from the outset, particularly in relation to governance rights and transfer restrictions.</w:t>
      </w:r>
    </w:p>
    <w:p w:rsidR="00A92F85" w:rsidRDefault="00A92F85" w:rsidP="00A92F85">
      <w:pPr>
        <w:pStyle w:val="Heading2"/>
      </w:pPr>
      <w:r>
        <w:t>Conclusion</w:t>
      </w:r>
    </w:p>
    <w:p w:rsidR="00A92F85" w:rsidRDefault="00A92F85" w:rsidP="00A92F85">
      <w:pPr>
        <w:pStyle w:val="NormalWeb"/>
      </w:pPr>
      <w:r>
        <w:t>Private equity and venture capital investments continue to play a transformative role in Kenya’s corporate landscape. As regulatory oversight deepens and transaction structures become more sophisticated, legal and regulatory considerations are increasingly central to successful private capital deployment.</w:t>
      </w:r>
    </w:p>
    <w:p w:rsidR="00A92F85" w:rsidRDefault="00A92F85" w:rsidP="00A92F85">
      <w:pPr>
        <w:pStyle w:val="NormalWeb"/>
      </w:pPr>
      <w:r>
        <w:t>For investors and founders alike, navigating fund regulation, corporate governance, and transaction risk requires careful planning and informed legal advice. Kenya’s evolving private capital framework presents both opportunities and complexity—but for well-structured investments, it offers a compelling platform for long-term growth and value creation.</w:t>
      </w:r>
    </w:p>
    <w:p w:rsidR="00862AF1" w:rsidRPr="00A92F85" w:rsidRDefault="00862AF1" w:rsidP="00A92F85">
      <w:bookmarkStart w:id="0" w:name="_GoBack"/>
      <w:bookmarkEnd w:id="0"/>
    </w:p>
    <w:sectPr w:rsidR="00862AF1" w:rsidRPr="00A92F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52A1F"/>
    <w:multiLevelType w:val="multilevel"/>
    <w:tmpl w:val="607E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67560"/>
    <w:multiLevelType w:val="multilevel"/>
    <w:tmpl w:val="52DE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65EC8"/>
    <w:multiLevelType w:val="multilevel"/>
    <w:tmpl w:val="C37C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2012F"/>
    <w:multiLevelType w:val="multilevel"/>
    <w:tmpl w:val="3A8C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C29F0"/>
    <w:multiLevelType w:val="multilevel"/>
    <w:tmpl w:val="26E2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9E1DBB"/>
    <w:multiLevelType w:val="multilevel"/>
    <w:tmpl w:val="86BC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6E1EF5"/>
    <w:multiLevelType w:val="multilevel"/>
    <w:tmpl w:val="A076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914FB"/>
    <w:multiLevelType w:val="multilevel"/>
    <w:tmpl w:val="2DCC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2D2001"/>
    <w:multiLevelType w:val="multilevel"/>
    <w:tmpl w:val="1AAE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DE4209"/>
    <w:multiLevelType w:val="multilevel"/>
    <w:tmpl w:val="185E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F6C47"/>
    <w:multiLevelType w:val="multilevel"/>
    <w:tmpl w:val="687E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A71180"/>
    <w:multiLevelType w:val="multilevel"/>
    <w:tmpl w:val="1CA8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F514D9"/>
    <w:multiLevelType w:val="multilevel"/>
    <w:tmpl w:val="E7B4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E62C73"/>
    <w:multiLevelType w:val="multilevel"/>
    <w:tmpl w:val="C85C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
  </w:num>
  <w:num w:numId="3">
    <w:abstractNumId w:val="4"/>
  </w:num>
  <w:num w:numId="4">
    <w:abstractNumId w:val="0"/>
  </w:num>
  <w:num w:numId="5">
    <w:abstractNumId w:val="3"/>
  </w:num>
  <w:num w:numId="6">
    <w:abstractNumId w:val="7"/>
  </w:num>
  <w:num w:numId="7">
    <w:abstractNumId w:val="11"/>
  </w:num>
  <w:num w:numId="8">
    <w:abstractNumId w:val="12"/>
  </w:num>
  <w:num w:numId="9">
    <w:abstractNumId w:val="8"/>
  </w:num>
  <w:num w:numId="10">
    <w:abstractNumId w:val="6"/>
  </w:num>
  <w:num w:numId="11">
    <w:abstractNumId w:val="10"/>
  </w:num>
  <w:num w:numId="12">
    <w:abstractNumId w:val="9"/>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F85"/>
    <w:rsid w:val="000B7BC8"/>
    <w:rsid w:val="007F5DAC"/>
    <w:rsid w:val="00862AF1"/>
    <w:rsid w:val="00A92F85"/>
    <w:rsid w:val="00B53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78A6B"/>
  <w15:chartTrackingRefBased/>
  <w15:docId w15:val="{9543D127-DB17-4E8C-B7A6-01E0A1B3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92F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92F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92F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F8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92F8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92F8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92F8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2F85"/>
    <w:rPr>
      <w:b/>
      <w:bCs/>
    </w:rPr>
  </w:style>
  <w:style w:type="character" w:styleId="Emphasis">
    <w:name w:val="Emphasis"/>
    <w:basedOn w:val="DefaultParagraphFont"/>
    <w:uiPriority w:val="20"/>
    <w:qFormat/>
    <w:rsid w:val="00A92F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86045">
      <w:bodyDiv w:val="1"/>
      <w:marLeft w:val="0"/>
      <w:marRight w:val="0"/>
      <w:marTop w:val="0"/>
      <w:marBottom w:val="0"/>
      <w:divBdr>
        <w:top w:val="none" w:sz="0" w:space="0" w:color="auto"/>
        <w:left w:val="none" w:sz="0" w:space="0" w:color="auto"/>
        <w:bottom w:val="none" w:sz="0" w:space="0" w:color="auto"/>
        <w:right w:val="none" w:sz="0" w:space="0" w:color="auto"/>
      </w:divBdr>
    </w:div>
    <w:div w:id="193509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Imanyara</dc:creator>
  <cp:keywords/>
  <dc:description/>
  <cp:lastModifiedBy>Doreen Imanyara</cp:lastModifiedBy>
  <cp:revision>1</cp:revision>
  <dcterms:created xsi:type="dcterms:W3CDTF">2026-01-22T08:49:00Z</dcterms:created>
  <dcterms:modified xsi:type="dcterms:W3CDTF">2026-01-22T09:43:00Z</dcterms:modified>
</cp:coreProperties>
</file>